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0C" w:rsidRPr="009E4B05" w:rsidRDefault="00E9028E" w:rsidP="00A8600C">
      <w:pPr>
        <w:rPr>
          <w:rFonts w:asciiTheme="minorEastAsia" w:eastAsiaTheme="minorEastAsia" w:hAnsiTheme="minorEastAsia"/>
          <w:b/>
          <w:color w:val="FF0000"/>
          <w:sz w:val="18"/>
          <w:szCs w:val="16"/>
          <w:u w:val="single"/>
          <w:lang w:eastAsia="ko-KR"/>
        </w:rPr>
      </w:pPr>
      <w:r w:rsidRPr="009E4B05">
        <w:rPr>
          <w:rFonts w:asciiTheme="minorEastAsia" w:eastAsiaTheme="minorEastAsia" w:hAnsiTheme="minorEastAsia"/>
          <w:b/>
          <w:color w:val="FF0000"/>
          <w:sz w:val="18"/>
          <w:szCs w:val="16"/>
          <w:u w:val="single"/>
          <w:lang w:eastAsia="ko-KR"/>
        </w:rPr>
        <w:t>&lt;</w:t>
      </w:r>
      <w:r w:rsidRPr="009E4B05">
        <w:rPr>
          <w:rFonts w:asciiTheme="minorEastAsia" w:eastAsiaTheme="minorEastAsia" w:hAnsiTheme="minorEastAsia" w:cs="굴림" w:hint="eastAsia"/>
          <w:b/>
          <w:color w:val="FF0000"/>
          <w:sz w:val="18"/>
          <w:szCs w:val="16"/>
          <w:u w:val="single"/>
          <w:lang w:eastAsia="ko-KR"/>
        </w:rPr>
        <w:t>첨부사항</w:t>
      </w:r>
      <w:r w:rsidRPr="009E4B05">
        <w:rPr>
          <w:rFonts w:asciiTheme="minorEastAsia" w:eastAsiaTheme="minorEastAsia" w:hAnsiTheme="minorEastAsia"/>
          <w:b/>
          <w:color w:val="FF0000"/>
          <w:sz w:val="18"/>
          <w:szCs w:val="16"/>
          <w:u w:val="single"/>
          <w:lang w:eastAsia="ko-KR"/>
        </w:rPr>
        <w:t>&gt;</w:t>
      </w:r>
    </w:p>
    <w:p w:rsidR="00A8600C" w:rsidRPr="00A8600C" w:rsidRDefault="00A8600C" w:rsidP="00A8600C">
      <w:pPr>
        <w:rPr>
          <w:rFonts w:ascii="바탕" w:eastAsia="바탕" w:hAnsi="바탕"/>
          <w:b/>
          <w:sz w:val="16"/>
          <w:szCs w:val="16"/>
          <w:u w:val="single"/>
          <w:lang w:eastAsia="ko-KR"/>
        </w:rPr>
      </w:pPr>
    </w:p>
    <w:p w:rsidR="004A7ECC" w:rsidRDefault="0079509F" w:rsidP="004A7ECC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아래 </w:t>
      </w:r>
      <w:r w:rsidR="00651C3B"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="00651C3B"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="00651C3B"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="00651C3B" w:rsidRPr="004A7ECC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="00651C3B"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651C3B"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  <w:r w:rsidR="008E27E8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="004A7ECC"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제품을 사용 전에 </w:t>
      </w:r>
      <w:r w:rsid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반드시 </w:t>
      </w:r>
      <w:r w:rsidR="004A7ECC"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</w:t>
      </w:r>
      <w:r w:rsid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="004A7ECC"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사항</w:t>
      </w:r>
      <w:r w:rsid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(사용방법 및 사용시</w:t>
      </w:r>
      <w:r w:rsidR="00E6174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주의사항 등)</w:t>
      </w:r>
      <w:r w:rsidR="004A7ECC"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을 </w:t>
      </w:r>
      <w:r w:rsid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확인하시기 바랍니다.</w:t>
      </w:r>
    </w:p>
    <w:p w:rsidR="00A079E4" w:rsidRPr="00D037DC" w:rsidRDefault="00A079E4" w:rsidP="004A7ECC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651C3B" w:rsidRDefault="00443673" w:rsidP="00A079E4">
      <w:pPr>
        <w:adjustRightInd w:val="0"/>
        <w:spacing w:line="10" w:lineRule="atLeast"/>
        <w:rPr>
          <w:rFonts w:asciiTheme="minorEastAsia" w:eastAsiaTheme="minorEastAsia" w:hAnsiTheme="minorEastAsia" w:cs="굴림"/>
          <w:sz w:val="14"/>
          <w:szCs w:val="14"/>
          <w:lang w:eastAsia="ko-KR"/>
        </w:rPr>
      </w:pP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생체재료이식용뼈(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B04220.01 (4)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)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OrthoBlast II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수입품목허가번호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07-305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</w:p>
    <w:p w:rsidR="00443673" w:rsidRPr="0079509F" w:rsidRDefault="00443673" w:rsidP="00A079E4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</w:p>
    <w:p w:rsidR="004956A1" w:rsidRPr="009E4B05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굴림"/>
          <w:b/>
          <w:color w:val="FF0000"/>
          <w:sz w:val="14"/>
          <w:szCs w:val="14"/>
          <w:lang w:eastAsia="ko-KR"/>
        </w:rPr>
      </w:pPr>
      <w:r w:rsidRPr="009E4B05">
        <w:rPr>
          <w:rFonts w:asciiTheme="majorEastAsia" w:eastAsiaTheme="majorEastAsia" w:hAnsiTheme="majorEastAsia" w:cs="HCRBatang-Bold" w:hint="eastAsia"/>
          <w:b/>
          <w:bCs/>
          <w:color w:val="FF0000"/>
          <w:sz w:val="14"/>
          <w:szCs w:val="14"/>
          <w:lang w:eastAsia="ko-KR"/>
        </w:rPr>
        <w:t>사용방법</w:t>
      </w:r>
      <w:r w:rsidRPr="009E4B05">
        <w:rPr>
          <w:rFonts w:asciiTheme="majorEastAsia" w:eastAsiaTheme="majorEastAsia" w:hAnsiTheme="majorEastAsia" w:cs="바탕" w:hint="eastAsia"/>
          <w:b/>
          <w:color w:val="FF0000"/>
          <w:sz w:val="14"/>
          <w:szCs w:val="14"/>
          <w:lang w:eastAsia="ko-KR"/>
        </w:rPr>
        <w:t>(</w:t>
      </w:r>
      <w:r w:rsidRPr="009E4B05">
        <w:rPr>
          <w:rFonts w:asciiTheme="majorEastAsia" w:eastAsiaTheme="majorEastAsia" w:hAnsiTheme="majorEastAsia" w:cs="굴림" w:hint="eastAsia"/>
          <w:b/>
          <w:color w:val="FF0000"/>
          <w:sz w:val="14"/>
          <w:szCs w:val="14"/>
          <w:lang w:eastAsia="ko-KR"/>
        </w:rPr>
        <w:t>제</w:t>
      </w:r>
      <w:r w:rsidRPr="009E4B05">
        <w:rPr>
          <w:rFonts w:asciiTheme="majorEastAsia" w:eastAsiaTheme="majorEastAsia" w:hAnsiTheme="majorEastAsia"/>
          <w:b/>
          <w:color w:val="FF0000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굴림" w:hint="eastAsia"/>
          <w:b/>
          <w:color w:val="FF0000"/>
          <w:sz w:val="14"/>
          <w:szCs w:val="14"/>
          <w:lang w:eastAsia="ko-KR"/>
        </w:rPr>
        <w:t>수허</w:t>
      </w:r>
      <w:r w:rsidRPr="009E4B05">
        <w:rPr>
          <w:rFonts w:asciiTheme="majorEastAsia" w:eastAsiaTheme="majorEastAsia" w:hAnsiTheme="majorEastAsia"/>
          <w:b/>
          <w:color w:val="FF0000"/>
          <w:sz w:val="14"/>
          <w:szCs w:val="14"/>
          <w:lang w:eastAsia="ko-KR"/>
        </w:rPr>
        <w:t xml:space="preserve"> 07-305</w:t>
      </w:r>
      <w:r w:rsidRPr="009E4B05">
        <w:rPr>
          <w:rFonts w:asciiTheme="majorEastAsia" w:eastAsiaTheme="majorEastAsia" w:hAnsiTheme="majorEastAsia" w:cs="굴림" w:hint="eastAsia"/>
          <w:b/>
          <w:color w:val="FF0000"/>
          <w:sz w:val="14"/>
          <w:szCs w:val="14"/>
          <w:lang w:eastAsia="ko-KR"/>
        </w:rPr>
        <w:t>호 전모델 공통)</w:t>
      </w:r>
    </w:p>
    <w:p w:rsidR="0079509F" w:rsidRDefault="0079509F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가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사용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전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준비사항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1.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합병증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위험을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최소화하기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기술을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유지해야한다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2.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필요한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양은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시술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치료할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크기에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기초한다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3.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자가이식편과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섞을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, 1 : 1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비율을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4.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수화를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필요로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5.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방사선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평가는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정도를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정확하게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평가하고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장치의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선택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배치에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도움을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주기위해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필수적이다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6.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확장에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앞서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뒷받침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충분한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기계적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힘이</w:t>
      </w:r>
    </w:p>
    <w:p w:rsidR="004956A1" w:rsidRPr="009E4B05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없다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따라서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모든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면에서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해부학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단단한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무관하게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획득해야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7.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최상의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결과를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얻으려면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메우고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생존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접촉해야한다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8.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완벽한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연조직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커버에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도달할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없는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골격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해결하는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데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사용해서는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안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된다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9E4B05" w:rsidRPr="009E4B05" w:rsidRDefault="009E4B05" w:rsidP="009E4B05">
      <w:pPr>
        <w:adjustRightInd w:val="0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9.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임플란트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재료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분야에서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적절한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훈련과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경험을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가진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숙련된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외과의만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bookmarkStart w:id="0" w:name="_GoBack"/>
      <w:bookmarkEnd w:id="0"/>
      <w:r w:rsidRPr="009E4B05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OrthoBlast II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사용해야한다</w:t>
      </w:r>
      <w:r w:rsidRPr="009E4B05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E4B05" w:rsidRPr="006E3468" w:rsidRDefault="009E4B05" w:rsidP="009E4B05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나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사용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방법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>- Putty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1.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외부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패키지를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벗겨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낸다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2.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방법으로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내용물을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무균실로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옮긴다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3.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열려있는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껍질을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벗기고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Spatula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Vial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꺼낸다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4. Vial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뚜껑을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열고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작은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Spatula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기구를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Putty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꺼낸다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5.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부분은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폐기한다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>- Gel</w:t>
      </w:r>
    </w:p>
    <w:p w:rsidR="00F24FFE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1.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외부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패키지를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벗겨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낸다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2.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방법으로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내용물을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무균실로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옮긴다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3.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열려있는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떼어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주사기를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꺼낸다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4.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주사기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끝에서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캡을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제거한다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5. Plunger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눌러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임플란트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재료를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압출한다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6.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부분은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폐기한다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다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관리</w:t>
      </w:r>
    </w:p>
    <w:p w:rsidR="004956A1" w:rsidRDefault="004956A1" w:rsidP="00F24FFE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1.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관리는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자가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이식술을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이용한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사례들을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따라야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2.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표준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절차를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준수해야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특히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수복에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적용되는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더욱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그러하다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3. 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장치의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/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유발하거나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상실을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초래할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체중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부하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보행에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대해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주의해야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="00F24FFE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4.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로드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줄인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남아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시간은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복잡성과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전체적인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신체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조건에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의해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결정된다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치유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때까지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하드웨어를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제거해서는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9E4B05" w:rsidRDefault="004956A1" w:rsidP="004956A1">
      <w:pPr>
        <w:spacing w:line="10" w:lineRule="atLeast"/>
        <w:rPr>
          <w:rFonts w:asciiTheme="majorEastAsia" w:eastAsiaTheme="majorEastAsia" w:hAnsiTheme="majorEastAsia" w:cs="HCRBatang"/>
          <w:b/>
          <w:color w:val="FF0000"/>
          <w:sz w:val="14"/>
          <w:szCs w:val="14"/>
          <w:lang w:eastAsia="ko-KR"/>
        </w:rPr>
      </w:pPr>
    </w:p>
    <w:p w:rsidR="004956A1" w:rsidRDefault="004956A1" w:rsidP="004956A1">
      <w:pPr>
        <w:spacing w:line="10" w:lineRule="atLeast"/>
        <w:rPr>
          <w:rFonts w:asciiTheme="majorEastAsia" w:eastAsiaTheme="majorEastAsia" w:hAnsiTheme="majorEastAsia" w:cs="굴림"/>
          <w:b/>
          <w:color w:val="FF0000"/>
          <w:sz w:val="14"/>
          <w:szCs w:val="14"/>
          <w:lang w:eastAsia="ko-KR"/>
        </w:rPr>
      </w:pPr>
      <w:r w:rsidRPr="009E4B05">
        <w:rPr>
          <w:rFonts w:asciiTheme="majorEastAsia" w:eastAsiaTheme="majorEastAsia" w:hAnsiTheme="majorEastAsia" w:cs="바탕" w:hint="eastAsia"/>
          <w:b/>
          <w:color w:val="FF0000"/>
          <w:sz w:val="14"/>
          <w:szCs w:val="14"/>
          <w:lang w:eastAsia="ko-KR"/>
        </w:rPr>
        <w:t>사용</w:t>
      </w:r>
      <w:r w:rsidRPr="009E4B05">
        <w:rPr>
          <w:rFonts w:asciiTheme="majorEastAsia" w:eastAsiaTheme="majorEastAsia" w:hAnsiTheme="majorEastAsia" w:cs="바탕"/>
          <w:b/>
          <w:color w:val="FF0000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바탕" w:hint="eastAsia"/>
          <w:b/>
          <w:color w:val="FF0000"/>
          <w:sz w:val="14"/>
          <w:szCs w:val="14"/>
          <w:lang w:eastAsia="ko-KR"/>
        </w:rPr>
        <w:t>시</w:t>
      </w:r>
      <w:r w:rsidRPr="009E4B05">
        <w:rPr>
          <w:rFonts w:asciiTheme="majorEastAsia" w:eastAsiaTheme="majorEastAsia" w:hAnsiTheme="majorEastAsia" w:cs="바탕"/>
          <w:b/>
          <w:color w:val="FF0000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바탕" w:hint="eastAsia"/>
          <w:b/>
          <w:color w:val="FF0000"/>
          <w:sz w:val="14"/>
          <w:szCs w:val="14"/>
          <w:lang w:eastAsia="ko-KR"/>
        </w:rPr>
        <w:t>주의사항 (</w:t>
      </w:r>
      <w:r w:rsidRPr="009E4B05">
        <w:rPr>
          <w:rFonts w:asciiTheme="majorEastAsia" w:eastAsiaTheme="majorEastAsia" w:hAnsiTheme="majorEastAsia" w:cs="굴림" w:hint="eastAsia"/>
          <w:b/>
          <w:color w:val="FF0000"/>
          <w:sz w:val="14"/>
          <w:szCs w:val="14"/>
          <w:lang w:eastAsia="ko-KR"/>
        </w:rPr>
        <w:t>제</w:t>
      </w:r>
      <w:r w:rsidRPr="009E4B05">
        <w:rPr>
          <w:rFonts w:asciiTheme="majorEastAsia" w:eastAsiaTheme="majorEastAsia" w:hAnsiTheme="majorEastAsia"/>
          <w:b/>
          <w:color w:val="FF0000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굴림" w:hint="eastAsia"/>
          <w:b/>
          <w:color w:val="FF0000"/>
          <w:sz w:val="14"/>
          <w:szCs w:val="14"/>
          <w:lang w:eastAsia="ko-KR"/>
        </w:rPr>
        <w:t>수허</w:t>
      </w:r>
      <w:r w:rsidRPr="009E4B05">
        <w:rPr>
          <w:rFonts w:asciiTheme="majorEastAsia" w:eastAsiaTheme="majorEastAsia" w:hAnsiTheme="majorEastAsia"/>
          <w:b/>
          <w:color w:val="FF0000"/>
          <w:sz w:val="14"/>
          <w:szCs w:val="14"/>
          <w:lang w:eastAsia="ko-KR"/>
        </w:rPr>
        <w:t xml:space="preserve"> 07-305</w:t>
      </w:r>
      <w:r w:rsidRPr="009E4B05">
        <w:rPr>
          <w:rFonts w:asciiTheme="majorEastAsia" w:eastAsiaTheme="majorEastAsia" w:hAnsiTheme="majorEastAsia" w:cs="굴림" w:hint="eastAsia"/>
          <w:b/>
          <w:color w:val="FF0000"/>
          <w:sz w:val="14"/>
          <w:szCs w:val="14"/>
          <w:lang w:eastAsia="ko-KR"/>
        </w:rPr>
        <w:t>호 전모델 공통)</w:t>
      </w:r>
    </w:p>
    <w:p w:rsidR="009E4B05" w:rsidRPr="009E4B05" w:rsidRDefault="009E4B05" w:rsidP="004956A1">
      <w:pPr>
        <w:spacing w:line="10" w:lineRule="atLeast"/>
        <w:rPr>
          <w:rFonts w:asciiTheme="majorEastAsia" w:eastAsiaTheme="majorEastAsia" w:hAnsiTheme="majorEastAsia"/>
          <w:b/>
          <w:color w:val="FF0000"/>
          <w:sz w:val="14"/>
          <w:szCs w:val="14"/>
          <w:lang w:eastAsia="ko-KR"/>
        </w:rPr>
      </w:pP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1)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 xml:space="preserve">금기사항 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하중을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받는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표면에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구조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지지대로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것을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금지한다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금기사항을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나타내는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조건은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다음과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같다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중증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혈관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신경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질환•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통제되지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당뇨병•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퇴행성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질환•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지시를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따르지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따르지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(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약물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/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알코올을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남용하는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)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신장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기능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장애•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주변의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활동성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잠재적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Polymyxin B Sulfate, Bacitracin, Gentamycin, Iodine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 Gel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Putty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DBM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처리에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사용되며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미량이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남아있을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어떤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개인이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알레르기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반응을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수준을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정량화하는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것은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불가능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화합물에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대해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알려진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민감성을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환자에게는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금지한다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2)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환자선택요인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이식술과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절차에서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매우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다양한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결과가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나타날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기법을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선택할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때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고려해야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요소는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다음과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같다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환자연령•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환자골격의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품질•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위치•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예상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조건•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혈액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공급에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이식편의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근접도•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실행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이식편을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직접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붙이는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능력•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자가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골수의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존재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추가•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틈새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제거•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안정화•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이동을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방지하기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이식재료의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전체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적용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범위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3)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경고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만료일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사용해야한다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일회용의료기기이다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멸균하지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손상되거나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폐기한다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포장재는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제조업체에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반품해야한다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지원하는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마시오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모든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면에서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안정화를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보장하기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필요에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따라 까다로운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기술이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권장된다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나사는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아닌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본인의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들어가야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봉합이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필요하므로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연조직의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도달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범위를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확보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수없는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치료하는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데 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마십시오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너무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많이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채우지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4)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잠재적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유해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작용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절차는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다음과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같은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위험과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: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lastRenderedPageBreak/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외상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골수염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유무에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관계없이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불유합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조합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/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불유합•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결손•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교정손실•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재골절•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낭종의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재발•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혈종•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봉와직염</w:t>
      </w:r>
      <w:r w:rsidR="00F24FFE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기인한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결과는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반드시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제조사에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즉시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보고되어야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성능이나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불만이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즉시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IsoTis Orthobiologics, Inc.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알리고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즉시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반환한다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>5)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 xml:space="preserve">　예방조치</w:t>
      </w:r>
    </w:p>
    <w:p w:rsidR="00FA7592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원래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밀봉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상태이고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개봉되지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상태라면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제품의</w:t>
      </w:r>
      <w:r w:rsidR="00FA7592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동안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유지된다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　모든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생물학적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마찬가지로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,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가공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치료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광범위한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기증자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검사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 선택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실험실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테스트에도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불구하고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감염원을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전달할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지금까지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탈회골의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기인하는</w:t>
      </w:r>
      <w:r w:rsidR="00FA7592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실험적이거나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임상적인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바이러스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변환에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대한보고는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없었다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마찬가지로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가능성이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존재한다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비록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생산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기술이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항원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특성을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제거하도록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고안되지만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그러한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반응의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가능성이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존재한다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일단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용기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밀봉이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손상되면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이식하거나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폐기해야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닫힌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채울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때는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주의한다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압출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중에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저항이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과도한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압력을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나타낼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장치를 과도하게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가압하면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물질이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혈류로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흡입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/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색전증을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일으킬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도입할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과도하게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수축되지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않도록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주의해야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Pr="006E3468" w:rsidRDefault="004956A1" w:rsidP="004956A1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배치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/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잠재적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부작용을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방지하는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중요한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요소이다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4956A1" w:rsidRDefault="004956A1" w:rsidP="004956A1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압박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없이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상처부위를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닫기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삽입부위에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충전시키는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것을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피해야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="0079509F">
        <w:rPr>
          <w:rFonts w:asciiTheme="majorEastAsia" w:eastAsiaTheme="majorEastAsia" w:hAnsiTheme="majorEastAsia"/>
          <w:sz w:val="14"/>
          <w:szCs w:val="14"/>
          <w:lang w:eastAsia="ko-KR"/>
        </w:rPr>
        <w:t>.</w:t>
      </w:r>
    </w:p>
    <w:p w:rsidR="0079509F" w:rsidRDefault="0079509F" w:rsidP="004956A1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</w:p>
    <w:p w:rsidR="0079509F" w:rsidRPr="00FA26B5" w:rsidRDefault="0079509F" w:rsidP="0079509F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FA26B5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저장방법</w:t>
      </w:r>
    </w:p>
    <w:p w:rsidR="0079509F" w:rsidRPr="0079509F" w:rsidRDefault="0079509F" w:rsidP="0079509F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.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후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및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관리방법</w:t>
      </w:r>
    </w:p>
    <w:p w:rsidR="0079509F" w:rsidRPr="0079509F" w:rsidRDefault="0079509F" w:rsidP="0079509F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1)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직사광선을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피하여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서늘하고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그늘진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상온에서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79509F" w:rsidRPr="0079509F" w:rsidRDefault="0079509F" w:rsidP="0079509F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2)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개봉된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기구는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사용하여서는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79509F" w:rsidRPr="0079509F" w:rsidRDefault="0079509F" w:rsidP="0079509F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나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.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보관조건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또는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저장방법</w:t>
      </w:r>
    </w:p>
    <w:p w:rsidR="0079509F" w:rsidRPr="0079509F" w:rsidRDefault="0079509F" w:rsidP="0079509F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(1)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서늘하고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건조한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실온에서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개봉되지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않는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상태로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79509F" w:rsidRPr="0079509F" w:rsidRDefault="0079509F" w:rsidP="0079509F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(2)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고온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,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다습한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장소는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피하고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통풍이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잘되는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냉암소에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79509F" w:rsidRPr="0079509F" w:rsidRDefault="0079509F" w:rsidP="0079509F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(3)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본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멸균된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상태로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공급됨으로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전에는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반드시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상태를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확인하여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사용해야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79509F" w:rsidRDefault="0079509F" w:rsidP="0079509F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(4)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개봉된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것은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사용해서는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A51981" w:rsidRDefault="00A51981" w:rsidP="00A51981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  <w:r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재</w:t>
      </w:r>
      <w:r w:rsidRPr="006E3468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작성연월일</w:t>
      </w:r>
      <w:r w:rsidRPr="006E3468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9E4B05">
        <w:rPr>
          <w:rFonts w:asciiTheme="majorEastAsia" w:eastAsiaTheme="majorEastAsia" w:hAnsiTheme="majorEastAsia"/>
          <w:sz w:val="14"/>
          <w:szCs w:val="14"/>
          <w:lang w:eastAsia="ko-KR"/>
        </w:rPr>
        <w:t>2021.06.17</w:t>
      </w:r>
    </w:p>
    <w:p w:rsidR="00A51981" w:rsidRDefault="00A51981" w:rsidP="0079509F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A51981" w:rsidRPr="0079509F" w:rsidRDefault="00A51981" w:rsidP="0079509F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79509F" w:rsidRPr="000575DA" w:rsidRDefault="0079509F" w:rsidP="0079509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79509F" w:rsidRPr="000575DA" w:rsidRDefault="0079509F" w:rsidP="0079509F">
      <w:pPr>
        <w:spacing w:line="10" w:lineRule="atLeast"/>
        <w:rPr>
          <w:rFonts w:asciiTheme="minorEastAsia" w:eastAsiaTheme="minorEastAsia" w:hAnsiTheme="minorEastAsia"/>
          <w:b/>
          <w:sz w:val="14"/>
          <w:szCs w:val="14"/>
          <w:u w:val="single"/>
          <w:lang w:eastAsia="ko-KR"/>
        </w:rPr>
      </w:pPr>
      <w:r w:rsidRPr="000575DA">
        <w:rPr>
          <w:rFonts w:asciiTheme="minorEastAsia" w:eastAsiaTheme="minorEastAsia" w:hAnsiTheme="minorEastAsia"/>
          <w:b/>
          <w:sz w:val="14"/>
          <w:szCs w:val="14"/>
          <w:u w:val="single"/>
          <w:lang w:eastAsia="ko-KR"/>
        </w:rPr>
        <w:t>&lt;</w:t>
      </w:r>
      <w:r w:rsidRPr="000575DA">
        <w:rPr>
          <w:rFonts w:asciiTheme="minorEastAsia" w:eastAsiaTheme="minorEastAsia" w:hAnsiTheme="minorEastAsia" w:hint="eastAsia"/>
          <w:b/>
          <w:sz w:val="14"/>
          <w:szCs w:val="14"/>
          <w:u w:val="single"/>
          <w:lang w:eastAsia="ko-KR"/>
        </w:rPr>
        <w:t>의료기기한글표시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u w:val="single"/>
          <w:lang w:eastAsia="ko-KR"/>
        </w:rPr>
        <w:t>기재사항</w:t>
      </w:r>
      <w:r w:rsidRPr="000575DA">
        <w:rPr>
          <w:rFonts w:asciiTheme="minorEastAsia" w:eastAsiaTheme="minorEastAsia" w:hAnsiTheme="minorEastAsia"/>
          <w:b/>
          <w:sz w:val="14"/>
          <w:szCs w:val="14"/>
          <w:u w:val="single"/>
          <w:lang w:eastAsia="ko-KR"/>
        </w:rPr>
        <w:t>&gt;</w:t>
      </w:r>
    </w:p>
    <w:p w:rsidR="0079509F" w:rsidRPr="000575DA" w:rsidRDefault="0079509F" w:rsidP="0079509F">
      <w:pPr>
        <w:spacing w:line="10" w:lineRule="atLeast"/>
        <w:rPr>
          <w:rFonts w:asciiTheme="minorEastAsia" w:eastAsiaTheme="minorEastAsia" w:hAnsiTheme="minorEastAsia"/>
          <w:b/>
          <w:sz w:val="14"/>
          <w:szCs w:val="14"/>
          <w:u w:val="single"/>
          <w:lang w:eastAsia="ko-KR"/>
        </w:rPr>
      </w:pPr>
    </w:p>
    <w:p w:rsidR="0079509F" w:rsidRPr="00C07261" w:rsidRDefault="0079509F" w:rsidP="0079509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생체재료이식용뼈(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B04220.01 (4)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)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OrthoBlast II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수입업신고번호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367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수입품목허가번호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07-305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사용목적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외상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또는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골다공증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등으로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뼈를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손실하였을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때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대체하는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생체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유래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재료로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만든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임플란트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.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척추의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대체재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등으로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사용한다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.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기능의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향상을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위하여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첨가물을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혼합하여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2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차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가공된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인체유래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뼈를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함유한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제품을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포함한다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.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포장단위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EA/Pack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제품라벨참조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제조번호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제조년월일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멸균방법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Electron Beam Irradiation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유효기간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제조일로부터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년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라벨참조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저장 및 보관방법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(1)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고온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다습한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장소는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피하고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통풍이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잘되는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서늘하고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건조한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실온에서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포장이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개봉되지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않는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상태로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보관한다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.(2)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제품은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상태이므로 사용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전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반드시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포장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상태를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확인하고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포장이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개봉된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것은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절대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사용해서는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안된다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 </w:t>
      </w:r>
      <w:r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제조자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: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(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본사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)SeaSpine, (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본사주소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)5770 Armada Drive, Carlsbad, California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92008.(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공장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)Isotis Orthbiologics, Inc.(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미국)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,(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공장주소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)2 Goodyear,(Suite A), Irvine California 92618,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제조국명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>미국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수입자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(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바이오임플란트테크놀로지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주소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경기도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용인시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기흥구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흥덕중앙로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120 U-Tower 2101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전화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:031-704-2882 </w:t>
      </w:r>
      <w:r w:rsidRPr="000575DA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팩스: 031-704-1881 </w:t>
      </w:r>
      <w:r w:rsidRPr="00C0726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사용방법 및 사용시주의사항 :</w:t>
      </w:r>
      <w:r w:rsidRPr="00C0726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C0726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별도첨부사항, 첨부사항은 제품 수입처,</w:t>
      </w:r>
      <w:r w:rsidRPr="00C0726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C0726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홈페이지 </w:t>
      </w:r>
      <w:hyperlink r:id="rId7" w:history="1">
        <w:r w:rsidRPr="00C07261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C0726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C0726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후 반드시 제품 사용 전에 확인하시기 바랍니다.</w:t>
      </w:r>
      <w:r w:rsidRPr="00C0726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</w:p>
    <w:p w:rsidR="0079509F" w:rsidRPr="000575DA" w:rsidRDefault="0079509F" w:rsidP="0079509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인체이식용의료기기임. 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0575D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본제품은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"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>"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임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제품의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재멸균,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재사용을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  <w:r w:rsidRPr="000575DA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작성연월일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>: 2021.</w:t>
      </w:r>
      <w:r w:rsidR="009E4B05">
        <w:rPr>
          <w:rFonts w:asciiTheme="minorEastAsia" w:eastAsiaTheme="minorEastAsia" w:hAnsiTheme="minorEastAsia"/>
          <w:sz w:val="14"/>
          <w:szCs w:val="14"/>
          <w:lang w:eastAsia="ko-KR"/>
        </w:rPr>
        <w:t>06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  <w:r w:rsidR="009E4B05">
        <w:rPr>
          <w:rFonts w:asciiTheme="minorEastAsia" w:eastAsiaTheme="minorEastAsia" w:hAnsiTheme="minorEastAsia"/>
          <w:sz w:val="14"/>
          <w:szCs w:val="14"/>
          <w:lang w:eastAsia="ko-KR"/>
        </w:rPr>
        <w:t>17</w:t>
      </w:r>
    </w:p>
    <w:p w:rsidR="0079509F" w:rsidRPr="000575DA" w:rsidRDefault="0079509F" w:rsidP="0079509F">
      <w:pPr>
        <w:adjustRightInd w:val="0"/>
        <w:rPr>
          <w:rFonts w:asciiTheme="minorEastAsia" w:eastAsiaTheme="minorEastAsia" w:hAnsiTheme="minorEastAsia" w:cs="돋움체"/>
          <w:sz w:val="14"/>
          <w:szCs w:val="14"/>
          <w:lang w:eastAsia="ko-KR"/>
        </w:rPr>
      </w:pPr>
    </w:p>
    <w:p w:rsidR="0079509F" w:rsidRPr="0079509F" w:rsidRDefault="0079509F" w:rsidP="004956A1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</w:p>
    <w:p w:rsidR="003949DD" w:rsidRPr="004956A1" w:rsidRDefault="003949DD" w:rsidP="004956A1">
      <w:pPr>
        <w:adjustRightInd w:val="0"/>
        <w:rPr>
          <w:rFonts w:asciiTheme="minorEastAsia" w:eastAsiaTheme="minorEastAsia" w:hAnsiTheme="minorEastAsia" w:cs="돋움체"/>
          <w:sz w:val="14"/>
          <w:szCs w:val="16"/>
          <w:lang w:eastAsia="ko-KR"/>
        </w:rPr>
      </w:pPr>
    </w:p>
    <w:sectPr w:rsidR="003949DD" w:rsidRPr="004956A1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B4" w:rsidRDefault="003719B4" w:rsidP="00A8600C">
      <w:r>
        <w:separator/>
      </w:r>
    </w:p>
  </w:endnote>
  <w:endnote w:type="continuationSeparator" w:id="0">
    <w:p w:rsidR="003719B4" w:rsidRDefault="003719B4" w:rsidP="00A8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RBatang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CR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aansoft20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B4" w:rsidRDefault="003719B4" w:rsidP="00A8600C">
      <w:r>
        <w:separator/>
      </w:r>
    </w:p>
  </w:footnote>
  <w:footnote w:type="continuationSeparator" w:id="0">
    <w:p w:rsidR="003719B4" w:rsidRDefault="003719B4" w:rsidP="00A8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8E"/>
    <w:rsid w:val="00132D04"/>
    <w:rsid w:val="001821BC"/>
    <w:rsid w:val="001854AC"/>
    <w:rsid w:val="001B40B0"/>
    <w:rsid w:val="002A6C05"/>
    <w:rsid w:val="002D3173"/>
    <w:rsid w:val="00305FAA"/>
    <w:rsid w:val="003465C4"/>
    <w:rsid w:val="003719B4"/>
    <w:rsid w:val="003949DD"/>
    <w:rsid w:val="00401E07"/>
    <w:rsid w:val="00443673"/>
    <w:rsid w:val="004956A1"/>
    <w:rsid w:val="004A7ECC"/>
    <w:rsid w:val="005043EA"/>
    <w:rsid w:val="005C6369"/>
    <w:rsid w:val="00616410"/>
    <w:rsid w:val="00651C3B"/>
    <w:rsid w:val="006C2DF5"/>
    <w:rsid w:val="0079509F"/>
    <w:rsid w:val="00797C77"/>
    <w:rsid w:val="008E27E8"/>
    <w:rsid w:val="008E4AB0"/>
    <w:rsid w:val="0098796E"/>
    <w:rsid w:val="009E4B05"/>
    <w:rsid w:val="00A079E4"/>
    <w:rsid w:val="00A51981"/>
    <w:rsid w:val="00A7044A"/>
    <w:rsid w:val="00A8600C"/>
    <w:rsid w:val="00A95BCA"/>
    <w:rsid w:val="00B2014B"/>
    <w:rsid w:val="00B32F72"/>
    <w:rsid w:val="00C07261"/>
    <w:rsid w:val="00C53C2F"/>
    <w:rsid w:val="00C55074"/>
    <w:rsid w:val="00C73E4A"/>
    <w:rsid w:val="00DB5D38"/>
    <w:rsid w:val="00DF0F67"/>
    <w:rsid w:val="00E25B5B"/>
    <w:rsid w:val="00E32FD1"/>
    <w:rsid w:val="00E61743"/>
    <w:rsid w:val="00E9028E"/>
    <w:rsid w:val="00EF02DC"/>
    <w:rsid w:val="00F24FFE"/>
    <w:rsid w:val="00F932B9"/>
    <w:rsid w:val="00FA26B5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07E5D"/>
  <w15:docId w15:val="{31E5C96D-E4C9-4511-A37B-71622A87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981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A8600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A8600C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A8600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A8600C"/>
    <w:rPr>
      <w:rFonts w:ascii="Arial" w:eastAsia="Arial" w:hAnsi="Arial" w:cs="Arial"/>
    </w:rPr>
  </w:style>
  <w:style w:type="paragraph" w:styleId="a8">
    <w:name w:val="Balloon Text"/>
    <w:basedOn w:val="a"/>
    <w:link w:val="Char3"/>
    <w:uiPriority w:val="99"/>
    <w:semiHidden/>
    <w:unhideWhenUsed/>
    <w:rsid w:val="00E25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E25B5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51C3B"/>
    <w:rPr>
      <w:color w:val="0000FF" w:themeColor="hyperlink"/>
      <w:u w:val="single"/>
    </w:rPr>
  </w:style>
  <w:style w:type="paragraph" w:customStyle="1" w:styleId="aa">
    <w:name w:val="바탕글"/>
    <w:basedOn w:val="a"/>
    <w:rsid w:val="00651C3B"/>
    <w:pPr>
      <w:wordWrap w:val="0"/>
      <w:spacing w:line="552" w:lineRule="auto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2</cp:revision>
  <cp:lastPrinted>2021-06-08T01:37:00Z</cp:lastPrinted>
  <dcterms:created xsi:type="dcterms:W3CDTF">2021-07-19T05:33:00Z</dcterms:created>
  <dcterms:modified xsi:type="dcterms:W3CDTF">2021-07-19T05:33:00Z</dcterms:modified>
</cp:coreProperties>
</file>